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Layout w:type="fixed"/>
        <w:tblLook w:val="0600"/>
      </w:tblPr>
      <w:tblGrid>
        <w:gridCol w:w="4350"/>
        <w:gridCol w:w="1515"/>
        <w:gridCol w:w="3165"/>
        <w:tblGridChange w:id="0">
          <w:tblGrid>
            <w:gridCol w:w="4350"/>
            <w:gridCol w:w="1515"/>
            <w:gridCol w:w="316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546421"/>
                <w:sz w:val="58"/>
                <w:szCs w:val="58"/>
                <w:u w:val="none"/>
                <w:shd w:fill="auto" w:val="clear"/>
                <w:vertAlign w:val="baseline"/>
                <w:rtl w:val="0"/>
              </w:rPr>
              <w:t xml:space="preserve">Módulo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mallCaps w:val="1"/>
                <w:color w:val="546421"/>
                <w:sz w:val="58"/>
                <w:szCs w:val="58"/>
                <w:rtl w:val="0"/>
              </w:rPr>
              <w:t xml:space="preserve">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546421"/>
                <w:sz w:val="58"/>
                <w:szCs w:val="58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Formatos periodísticos- Entrevista y  Reportaje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72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46421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546421"/>
          <w:sz w:val="40"/>
          <w:szCs w:val="40"/>
          <w:rtl w:val="0"/>
        </w:rPr>
        <w:t xml:space="preserve">Recursos principales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46421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Página: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SOY SONIDO TERRITORIAL- Mariana Yate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Plan de formación por cada sesión: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450" w:tblpY="0"/>
        <w:tblW w:w="10455.0" w:type="dxa"/>
        <w:jc w:val="left"/>
        <w:tblInd w:w="-9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185"/>
        <w:gridCol w:w="6270"/>
        <w:tblGridChange w:id="0">
          <w:tblGrid>
            <w:gridCol w:w="4185"/>
            <w:gridCol w:w="62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before="85" w:lineRule="auto"/>
              <w:ind w:left="3864" w:firstLine="0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2. Formatos periodísticos</w:t>
            </w:r>
          </w:p>
        </w:tc>
      </w:tr>
      <w:tr>
        <w:trPr>
          <w:cantSplit w:val="0"/>
          <w:trHeight w:val="3403.44921875000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Entrevista - </w:t>
            </w: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SESIÓN 1: 4 HORAS</w:t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Bocado de teoría,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Objeto de la entrevista (Qué es, elementos, fuentes, objetividad, cómo abordar la fuente)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-Explicación técnica audio y video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-Tips para entrevistar </w:t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Ejercicio de entrevista (experiencia  inmersiva )</w:t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Refrigerio</w:t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Entrevista Hipotética “Mary Grueso”</w:t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Entrevista  con Kasbeelll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-Retroalimentación de la sesión con dinamizadores</w:t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Entrevista de reportería: </w:t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Objeto de la entrevista (fuentes, objetividad, tipos de entrevistados, cómo abordar la fuente)</w:t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Ejercicio de entrevista.</w:t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Revisión de una entrevista.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Guión pedagógico formato entrevista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 Entrevista ejemplo.</w:t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455" w:hanging="219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9"/>
          <w:szCs w:val="29"/>
          <w:rtl w:val="0"/>
        </w:rPr>
        <w:t xml:space="preserve">SESIÓN 2: 4 HORAS</w:t>
      </w:r>
    </w:p>
    <w:p w:rsidR="00000000" w:rsidDel="00000000" w:rsidP="00000000" w:rsidRDefault="00000000" w:rsidRPr="00000000" w14:paraId="0000002A">
      <w:pPr>
        <w:widowControl w:val="0"/>
        <w:spacing w:after="0" w:before="11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b w:val="1"/>
          <w:sz w:val="25"/>
          <w:szCs w:val="25"/>
          <w:rtl w:val="0"/>
        </w:rPr>
        <w:t xml:space="preserve">8.30am</w:t>
      </w:r>
    </w:p>
    <w:tbl>
      <w:tblPr>
        <w:tblStyle w:val="Table3"/>
        <w:tblW w:w="10605.0" w:type="dxa"/>
        <w:jc w:val="left"/>
        <w:tblInd w:w="-5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040"/>
        <w:gridCol w:w="5565"/>
        <w:tblGridChange w:id="0">
          <w:tblGrid>
            <w:gridCol w:w="5040"/>
            <w:gridCol w:w="5565"/>
          </w:tblGrid>
        </w:tblGridChange>
      </w:tblGrid>
      <w:tr>
        <w:trPr>
          <w:cantSplit w:val="0"/>
          <w:trHeight w:val="2715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Entrevista: </w:t>
            </w:r>
          </w:p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-Consejo de redacción</w:t>
            </w:r>
          </w:p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-Equipos técnicos para entrevista</w:t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-Se plantea un personaje hipotético y tipos de preguntas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0" w:before="11" w:lineRule="auto"/>
        <w:rPr>
          <w:rFonts w:ascii="Calibri" w:cs="Calibri" w:eastAsia="Calibri" w:hAnsi="Calibri"/>
          <w:b w:val="1"/>
          <w:color w:val="ff0000"/>
          <w:sz w:val="29"/>
          <w:szCs w:val="29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9"/>
          <w:szCs w:val="29"/>
          <w:rtl w:val="0"/>
        </w:rPr>
        <w:t xml:space="preserve">SESIÓN 2b: 4 HORAS</w:t>
      </w:r>
    </w:p>
    <w:p w:rsidR="00000000" w:rsidDel="00000000" w:rsidP="00000000" w:rsidRDefault="00000000" w:rsidRPr="00000000" w14:paraId="00000034">
      <w:pPr>
        <w:widowControl w:val="0"/>
        <w:spacing w:after="0" w:before="11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45.0" w:type="dxa"/>
        <w:jc w:val="left"/>
        <w:tblInd w:w="-5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15"/>
        <w:gridCol w:w="5130"/>
        <w:tblGridChange w:id="0">
          <w:tblGrid>
            <w:gridCol w:w="5415"/>
            <w:gridCol w:w="5130"/>
          </w:tblGrid>
        </w:tblGridChange>
      </w:tblGrid>
      <w:tr>
        <w:trPr>
          <w:cantSplit w:val="0"/>
          <w:trHeight w:val="227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Reportaje:  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-Bocado de Teoría (Qué es, elementos, tips)</w:t>
            </w:r>
          </w:p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Noticia actual para reflexionar sobre las fuentes que debemos buscar</w:t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Muestra reportajes y análisis grupal</w:t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358"/>
              </w:tabs>
              <w:spacing w:after="0" w:before="0" w:lineRule="auto"/>
              <w:ind w:left="10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Carrera de sabiduría</w:t>
            </w:r>
          </w:p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459"/>
              </w:tabs>
              <w:spacing w:after="0" w:before="0" w:lineRule="auto"/>
              <w:ind w:left="381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459"/>
              </w:tabs>
              <w:spacing w:after="0" w:before="1" w:lineRule="auto"/>
              <w:ind w:left="381" w:firstLine="0"/>
              <w:rPr>
                <w:rFonts w:ascii="Calibri" w:cs="Calibri" w:eastAsia="Calibri" w:hAnsi="Calibr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456"/>
              </w:tabs>
              <w:spacing w:after="0" w:before="0" w:lineRule="auto"/>
              <w:ind w:left="455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456"/>
              </w:tabs>
              <w:spacing w:after="0" w:before="0" w:line="267" w:lineRule="auto"/>
              <w:ind w:left="455" w:hanging="219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Recursos adicionales con un minuto a minuto del día viernes y sábado</w:t>
      </w:r>
    </w:p>
    <w:tbl>
      <w:tblPr>
        <w:tblStyle w:val="Table5"/>
        <w:tblW w:w="10275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0"/>
        <w:gridCol w:w="3555"/>
        <w:gridCol w:w="270"/>
        <w:gridCol w:w="975"/>
        <w:gridCol w:w="105"/>
        <w:gridCol w:w="3960"/>
        <w:tblGridChange w:id="0">
          <w:tblGrid>
            <w:gridCol w:w="1410"/>
            <w:gridCol w:w="3555"/>
            <w:gridCol w:w="270"/>
            <w:gridCol w:w="975"/>
            <w:gridCol w:w="105"/>
            <w:gridCol w:w="39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Entrevista</w:t>
            </w:r>
          </w:p>
        </w:tc>
        <w:tc>
          <w:tcPr>
            <w:gridSpan w:val="4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Viernes 16 de febrero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Tiempo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  -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Inicio 2:30pm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Materiales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Responsable</w:t>
            </w:r>
          </w:p>
        </w:tc>
      </w:tr>
      <w:tr>
        <w:trPr>
          <w:cantSplit w:val="0"/>
          <w:trHeight w:val="610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456"/>
              </w:tabs>
              <w:spacing w:after="0" w:before="1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del día</w:t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456"/>
              </w:tabs>
              <w:spacing w:after="0" w:before="1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conciencia - Saludo al sol.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Terraza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456"/>
              </w:tabs>
              <w:spacing w:after="0" w:before="1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respiración y articulación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tabs>
                <w:tab w:val="left" w:leader="none" w:pos="456"/>
              </w:tabs>
              <w:spacing w:after="0" w:afterAutospacing="0" w:before="1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Respirar en cuatro tiempos (inhalo-sostengo-exhalo-sostengo)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tabs>
                <w:tab w:val="left" w:leader="none" w:pos="456"/>
              </w:tabs>
              <w:spacing w:after="0" w:afterAutospacing="0" w:before="0" w:beforeAutospacing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Contar la mayor cantidad de números posibles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1"/>
              </w:numPr>
              <w:tabs>
                <w:tab w:val="left" w:leader="none" w:pos="456"/>
              </w:tabs>
              <w:spacing w:after="0" w:afterAutospacing="0" w:before="0" w:beforeAutospacing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Vocales con la Rrrrr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tabs>
                <w:tab w:val="left" w:leader="none" w:pos="456"/>
              </w:tabs>
              <w:spacing w:after="0" w:afterAutospacing="0" w:before="0" w:beforeAutospacing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brrrrrrrrr la moto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tabs>
                <w:tab w:val="left" w:leader="none" w:pos="456"/>
              </w:tabs>
              <w:spacing w:after="0" w:before="0" w:beforeAutospacing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Grrrrrrrrrrrrr gruñido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"/>
              </w:tabs>
              <w:spacing w:after="0" w:afterAutospacing="0" w:before="1" w:line="240" w:lineRule="auto"/>
              <w:ind w:left="141.7322834645671" w:right="0" w:hanging="15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¿Cómo llegamos?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"/>
              </w:tabs>
              <w:spacing w:after="0" w:afterAutospacing="0" w:before="0" w:beforeAutospacing="0" w:line="240" w:lineRule="auto"/>
              <w:ind w:left="141.7322834645671" w:right="0" w:hanging="15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expectativas tenemos?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6"/>
              </w:tabs>
              <w:spacing w:after="0" w:before="0" w:beforeAutospacing="0" w:line="240" w:lineRule="auto"/>
              <w:ind w:left="141.7322834645671" w:right="0" w:hanging="15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queremos aprender y que recordamos de la sesión anterior?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Revisión de tareas: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guión del poema y poema grabado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.46456692913375" w:right="0" w:hanging="283.46456692913375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guión de la noticia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Dinámica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para la reconstrucción de la entrevista: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5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es una entrevista?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5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¿Cuáles son los elementos o personajes participantes en la entrevista?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5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Dibujar los elementos de una entrevista y disponerlos en la pizarra.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5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Discusión.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Tips para entrevistar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Conocer previamente al entrevistado.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Documentarse sobre el entrevistado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Atender al entrevistado</w:t>
            </w:r>
          </w:p>
          <w:p w:rsidR="00000000" w:rsidDel="00000000" w:rsidP="00000000" w:rsidRDefault="00000000" w:rsidRPr="00000000" w14:paraId="0000007E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CONSENTIMIENTO INFORMADO: Preguntar si es posible grabar la entrevista antes de hacerlo (debe quedar grabado el permiso)</w:t>
            </w:r>
          </w:p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Determinar previamente temas a desarrollar y desarrollar una guía</w:t>
            </w:r>
          </w:p>
          <w:p w:rsidR="00000000" w:rsidDel="00000000" w:rsidP="00000000" w:rsidRDefault="00000000" w:rsidRPr="00000000" w14:paraId="00000080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Definir un listado de preguntas , desarrollar una guía</w:t>
            </w:r>
          </w:p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Mantener el contacto visual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Cuidar el espacio y elementos técnicos de la grabación: eco, distractores, preparar equipos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Delimitar el tiempo de la entrevista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141.7322834645671" w:hanging="15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Llegar con anterioridad para configurar escena y equipos de grabación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5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Pizarra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5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fichas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5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cinta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150"/>
              <w:jc w:val="left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marcadores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Experiencia inmersiva: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actividad en parejas, de entrevista y entrevistador, grabar con celulares. Escoger el lugar y guiar las preguntas según los tips anteriores. 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Posteriormente observar e identificar posibles aciertos o desaciertos de manera grupal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min- Hacer la entrevista.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min- Miran el material en grupo y entre ellos mismos revisan.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4.15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Refrigerio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tabs>
                <w:tab w:val="left" w:leader="none" w:pos="456"/>
              </w:tabs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Presentar el perfil de una persona “hipotética” Mary Grueso  y se van a plantear preguntas para esa persona </w:t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leader="none" w:pos="456"/>
              </w:tabs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les interesa saber de esta persona? ¿Qué información nos falta saber? y en el tablero categorizamos las preguntas (Abiertas,cerradas, profundas, alternativa, si y no)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min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5,05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Entrevista con la persona del perfil, donde cada grupo (2 grupos) tiene 8 minutos con la persona para preguntarle las cosas que les interesen </w:t>
            </w:r>
          </w:p>
          <w:p w:rsidR="00000000" w:rsidDel="00000000" w:rsidP="00000000" w:rsidRDefault="00000000" w:rsidRPr="00000000" w14:paraId="000000A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https://www.podnation.co/show/duro-con-chonta/episode/perfil-rosa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Consejo de Redacción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5:15pm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Papel kraft y post its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Lluvia de idea: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¿QUÉ DISFRUTÉ?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¿QUÉ MEJORARÍA?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¿QUÉ APRENDÍ?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480" w:before="720" w:lineRule="auto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480" w:before="72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SÁBADO</w:t>
      </w:r>
      <w:r w:rsidDel="00000000" w:rsidR="00000000" w:rsidRPr="00000000">
        <w:rPr>
          <w:rtl w:val="0"/>
        </w:rPr>
      </w:r>
    </w:p>
    <w:tbl>
      <w:tblPr>
        <w:tblStyle w:val="Table6"/>
        <w:tblW w:w="10215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2760"/>
        <w:gridCol w:w="105"/>
        <w:gridCol w:w="2580"/>
        <w:gridCol w:w="255"/>
        <w:gridCol w:w="3465"/>
        <w:tblGridChange w:id="0">
          <w:tblGrid>
            <w:gridCol w:w="1050"/>
            <w:gridCol w:w="2760"/>
            <w:gridCol w:w="105"/>
            <w:gridCol w:w="2580"/>
            <w:gridCol w:w="255"/>
            <w:gridCol w:w="34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Reportaje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Día Sábado  17 de Febrero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Tpo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Actividad y duración estimada . Inicio 9:15am 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Materiales</w:t>
            </w:r>
          </w:p>
        </w:tc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Responsable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20min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Agenda del día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 al sol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respiración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Rompehielo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8"/>
              </w:numPr>
              <w:spacing w:after="0" w:before="0" w:lineRule="auto"/>
              <w:ind w:left="141.7322834645671" w:hanging="283.4645669291342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Ejercicio de dicción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 la terraza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Ropa cómoda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10.10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Consejo de redacción y abordar que recuerdes de la sesión del viernes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Equipo técnicos para grabar entrevista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25- 30 min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Rule="auto"/>
              <w:ind w:left="141.7322834645671" w:hanging="283.4645669291342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Experiencia Inmersiva de entrevista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actividad en parejas, de entrevista y entrevistador, grabar con celulares. Escoger el lugar y guiar las preguntas según los tips anteriores. 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Posteriormente observar e identificar posibles aciertos o desaciertos de manera grupal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min- Hacer la entrevista.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min- Miran el material en grupo y entre ellos mismos revisan.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before="0" w:lineRule="auto"/>
              <w:ind w:left="141.7322834645671" w:hanging="283.4645669291342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tabs>
                <w:tab w:val="left" w:leader="none" w:pos="456"/>
              </w:tabs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Presentar el perfil de una persona “hipotética” Mary Grueso  y se van a plantear preguntas para esa persona </w:t>
            </w:r>
          </w:p>
          <w:p w:rsidR="00000000" w:rsidDel="00000000" w:rsidP="00000000" w:rsidRDefault="00000000" w:rsidRPr="00000000" w14:paraId="000000FF">
            <w:pPr>
              <w:widowControl w:val="0"/>
              <w:tabs>
                <w:tab w:val="left" w:leader="none" w:pos="456"/>
              </w:tabs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les interesa saber de esta persona? ¿Qué información nos falta saber? y en el tablero categorizamos las preguntas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Rule="auto"/>
              <w:rPr>
                <w:sz w:val="28"/>
                <w:szCs w:val="28"/>
                <w:shd w:fill="c9daf8" w:val="clear"/>
              </w:rPr>
            </w:pPr>
            <w:r w:rsidDel="00000000" w:rsidR="00000000" w:rsidRPr="00000000">
              <w:rPr>
                <w:sz w:val="28"/>
                <w:szCs w:val="28"/>
                <w:shd w:fill="c9daf8" w:val="clear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before="0" w:lineRule="auto"/>
              <w:rPr>
                <w:sz w:val="28"/>
                <w:szCs w:val="28"/>
                <w:shd w:fill="c9daf8" w:val="clear"/>
              </w:rPr>
            </w:pPr>
            <w:r w:rsidDel="00000000" w:rsidR="00000000" w:rsidRPr="00000000">
              <w:rPr>
                <w:sz w:val="28"/>
                <w:szCs w:val="28"/>
                <w:shd w:fill="c9daf8" w:val="clear"/>
                <w:rtl w:val="0"/>
              </w:rPr>
              <w:t xml:space="preserve">11.35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tabs>
                <w:tab w:val="left" w:leader="none" w:pos="456"/>
              </w:tabs>
              <w:spacing w:after="0" w:before="0" w:lineRule="auto"/>
              <w:rPr>
                <w:sz w:val="28"/>
                <w:szCs w:val="28"/>
                <w:shd w:fill="c9daf8" w:val="clear"/>
              </w:rPr>
            </w:pPr>
            <w:r w:rsidDel="00000000" w:rsidR="00000000" w:rsidRPr="00000000">
              <w:rPr>
                <w:sz w:val="28"/>
                <w:szCs w:val="28"/>
                <w:shd w:fill="c9daf8" w:val="clear"/>
                <w:rtl w:val="0"/>
              </w:rPr>
              <w:t xml:space="preserve">Refrigerio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>
                <w:sz w:val="28"/>
                <w:szCs w:val="28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 min 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12.10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Bocado de teoría y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Que tiene que alistar un reportero para para su labor   (ejercicio de pierna)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Después con la dinámica del juego ahorcado, entre todos construyen los elementos del reportaje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Página FLIPSNACK MARIANA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Tablero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20-25  min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12. 35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Hecho noticioso de Buenaventura: Tema comercialización de aleta de tiburón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Contextualización del tema, que han escuchado o qué saben</w:t>
            </w:r>
          </w:p>
          <w:p w:rsidR="00000000" w:rsidDel="00000000" w:rsidP="00000000" w:rsidRDefault="00000000" w:rsidRPr="00000000" w14:paraId="0000011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¿A qué fuente acudirían?  ¿Qué les preguntarían?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https://larazon.co/nacion/minagricultura-critico-la-prohibicion-de-la-venta-de-aleta-de-tiburon/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https://www.youtube.com/watch?v=OPY8xIPElfo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 min 1.00 pm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Almuerzo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2.15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Saludo al sol, ejercicios de dicción y articulación 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2.45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Material audiovisual de un reportaje, analizar aspectos , errores ya ciertos importantes de acuerdo a la teoría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color w:val="1155cc"/>
                  <w:sz w:val="28"/>
                  <w:szCs w:val="28"/>
                  <w:u w:val="single"/>
                  <w:rtl w:val="0"/>
                </w:rPr>
                <w:t xml:space="preserve">Memorias sonoras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after="0" w:before="0" w:lineRule="auto"/>
              <w:rPr>
                <w:sz w:val="28"/>
                <w:szCs w:val="28"/>
                <w:highlight w:val="yellow"/>
              </w:rPr>
            </w:pPr>
            <w:hyperlink r:id="rId13">
              <w:r w:rsidDel="00000000" w:rsidR="00000000" w:rsidRPr="00000000">
                <w:rPr>
                  <w:color w:val="1155cc"/>
                  <w:sz w:val="28"/>
                  <w:szCs w:val="28"/>
                  <w:highlight w:val="yellow"/>
                  <w:u w:val="single"/>
                  <w:rtl w:val="0"/>
                </w:rPr>
                <w:t xml:space="preserve">https://www.podnation.co/show/duro-con-chonta/episode/noticiero-final-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13E">
            <w:pPr>
              <w:widowControl w:val="0"/>
              <w:spacing w:after="0" w:before="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3.10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Carrera de aspectos del reportaje.</w:t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Se divide el grupo en dos equipos y se pondrán fichas bibliográficas boca abajo, en una mesa, para que cada participante escoja una y la ubique en el tablero, si es un aspecto ideal o no ideal para un reportaje. Después se hace una retroalimentación grupal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14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3.20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3"/>
              </w:numPr>
              <w:spacing w:after="0" w:before="0" w:lineRule="auto"/>
              <w:ind w:left="283.46456692913375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Construir tips sobre el reportaje, entre todos sobre.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15min</w:t>
            </w:r>
          </w:p>
          <w:p w:rsidR="00000000" w:rsidDel="00000000" w:rsidP="00000000" w:rsidRDefault="00000000" w:rsidRPr="00000000" w14:paraId="0000014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3.35 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Decálogo del buen reportero. Dinámica tipo juramento de bandera en el que se pondrá 10 aspectos para el reportaje. Cada persona irá sacando  de un bolsa una ficha y la leerá en voz alta y explica que entiende de ese aspecto 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min</w:t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i w:val="1"/>
                <w:sz w:val="28"/>
                <w:szCs w:val="28"/>
                <w:u w:val="single"/>
                <w:rtl w:val="0"/>
              </w:rPr>
              <w:t xml:space="preserve">CONSEJO DE REDACCIÓN</w:t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before="0" w:lineRule="auto"/>
              <w:rPr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¿Qué temas les gustaría hacer un reportaje?</w:t>
            </w:r>
          </w:p>
          <w:p w:rsidR="00000000" w:rsidDel="00000000" w:rsidP="00000000" w:rsidRDefault="00000000" w:rsidRPr="00000000" w14:paraId="0000015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¿Con que se van, qué se llevan y cómo se sintieron?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0" w:before="0" w:lineRule="auto"/>
              <w:ind w:left="72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Proyector 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Trabajo en grupo</w:t>
            </w:r>
          </w:p>
          <w:p w:rsidR="00000000" w:rsidDel="00000000" w:rsidP="00000000" w:rsidRDefault="00000000" w:rsidRPr="00000000" w14:paraId="00000161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Cierre</w:t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4.45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Escoger equipos dinamizador - codinamizador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REPORTAJE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Escoger temas:</w:t>
            </w:r>
          </w:p>
          <w:p w:rsidR="00000000" w:rsidDel="00000000" w:rsidP="00000000" w:rsidRDefault="00000000" w:rsidRPr="00000000" w14:paraId="0000016F">
            <w:pPr>
              <w:widowControl w:val="0"/>
              <w:numPr>
                <w:ilvl w:val="0"/>
                <w:numId w:val="6"/>
              </w:numPr>
              <w:spacing w:after="0" w:before="0" w:lineRule="auto"/>
              <w:ind w:left="425.19685039370086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SEMBLANZA</w:t>
            </w:r>
          </w:p>
          <w:p w:rsidR="00000000" w:rsidDel="00000000" w:rsidP="00000000" w:rsidRDefault="00000000" w:rsidRPr="00000000" w14:paraId="00000170">
            <w:pPr>
              <w:widowControl w:val="0"/>
              <w:numPr>
                <w:ilvl w:val="0"/>
                <w:numId w:val="6"/>
              </w:numPr>
              <w:spacing w:after="0" w:before="0" w:lineRule="auto"/>
              <w:ind w:left="425.19685039370086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CRÓNICA</w:t>
            </w:r>
          </w:p>
          <w:p w:rsidR="00000000" w:rsidDel="00000000" w:rsidP="00000000" w:rsidRDefault="00000000" w:rsidRPr="00000000" w14:paraId="00000171">
            <w:pPr>
              <w:widowControl w:val="0"/>
              <w:numPr>
                <w:ilvl w:val="0"/>
                <w:numId w:val="6"/>
              </w:numPr>
              <w:spacing w:after="0" w:before="0" w:lineRule="auto"/>
              <w:ind w:left="425.19685039370086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OPINIÓN</w:t>
            </w:r>
          </w:p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6"/>
              </w:numPr>
              <w:spacing w:after="0" w:before="0" w:lineRule="auto"/>
              <w:ind w:left="425.19685039370086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DRAMATIZADO</w:t>
            </w:r>
          </w:p>
          <w:p w:rsidR="00000000" w:rsidDel="00000000" w:rsidP="00000000" w:rsidRDefault="00000000" w:rsidRPr="00000000" w14:paraId="00000173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PAISAJE SONORO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after="0"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Requisitos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17B">
      <w:pPr>
        <w:widowControl w:val="0"/>
        <w:numPr>
          <w:ilvl w:val="0"/>
          <w:numId w:val="5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Ropa cómoda para el ejercicio de autoconciencia</w:t>
      </w:r>
    </w:p>
    <w:p w:rsidR="00000000" w:rsidDel="00000000" w:rsidP="00000000" w:rsidRDefault="00000000" w:rsidRPr="00000000" w14:paraId="0000017C">
      <w:pPr>
        <w:widowControl w:val="0"/>
        <w:numPr>
          <w:ilvl w:val="0"/>
          <w:numId w:val="5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Lapicero o lápiz, corcho o un palo pequeño</w:t>
      </w:r>
    </w:p>
    <w:p w:rsidR="00000000" w:rsidDel="00000000" w:rsidP="00000000" w:rsidRDefault="00000000" w:rsidRPr="00000000" w14:paraId="0000017D">
      <w:pPr>
        <w:widowControl w:val="0"/>
        <w:numPr>
          <w:ilvl w:val="0"/>
          <w:numId w:val="5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Cuaderno</w:t>
      </w:r>
    </w:p>
    <w:p w:rsidR="00000000" w:rsidDel="00000000" w:rsidP="00000000" w:rsidRDefault="00000000" w:rsidRPr="00000000" w14:paraId="0000017E">
      <w:pPr>
        <w:widowControl w:val="0"/>
        <w:numPr>
          <w:ilvl w:val="0"/>
          <w:numId w:val="5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Tener agua a mano para hidratarse</w:t>
      </w:r>
    </w:p>
    <w:p w:rsidR="00000000" w:rsidDel="00000000" w:rsidP="00000000" w:rsidRDefault="00000000" w:rsidRPr="00000000" w14:paraId="0000017F">
      <w:pPr>
        <w:widowControl w:val="0"/>
        <w:spacing w:after="0" w:before="0"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0"/>
        <w:spacing w:after="0" w:before="0"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4" w:type="default"/>
      <w:footerReference r:id="rId15" w:type="first"/>
      <w:pgSz w:h="16838" w:w="11906" w:orient="portrait"/>
      <w:pgMar w:bottom="720" w:top="72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re Franklin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Century Gothic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rFonts w:ascii="Libre Franklin" w:cs="Libre Franklin" w:eastAsia="Libre Franklin" w:hAnsi="Libre Frankli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Libre Franklin" w:cs="Libre Franklin" w:eastAsia="Libre Franklin" w:hAnsi="Libre Franklin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es-ES"/>
      </w:rPr>
    </w:rPrDefault>
    <w:pPrDefault>
      <w:pPr>
        <w:spacing w:after="12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  <w:qFormat w:val="1"/>
    <w:rsid w:val="000D1AB2"/>
    <w:pPr>
      <w:spacing w:after="120"/>
    </w:pPr>
    <w:rPr>
      <w:rFonts w:ascii="Segoe UI" w:hAnsi="Segoe UI" w:eastAsiaTheme="minorHAnsi"/>
      <w:noProof w:val="1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qFormat w:val="1"/>
    <w:rsid w:val="00831290"/>
    <w:pPr>
      <w:spacing w:after="240" w:before="240"/>
      <w:outlineLvl w:val="0"/>
    </w:pPr>
    <w:rPr>
      <w:rFonts w:ascii="Century Gothic" w:cs="Times New Roman (Body CS)" w:hAnsi="Century Gothic"/>
      <w:b w:val="1"/>
      <w:caps w:val="1"/>
      <w:color w:val="546421" w:themeColor="accent6" w:themeShade="000080"/>
      <w:sz w:val="54"/>
    </w:rPr>
  </w:style>
  <w:style w:type="paragraph" w:styleId="Ttulo2">
    <w:name w:val="heading 2"/>
    <w:basedOn w:val="Normal"/>
    <w:next w:val="Normal"/>
    <w:link w:val="Ttulo2Car"/>
    <w:uiPriority w:val="9"/>
    <w:semiHidden w:val="1"/>
    <w:rsid w:val="00C2798A"/>
    <w:pPr>
      <w:keepNext w:val="1"/>
      <w:keepLines w:val="1"/>
      <w:spacing w:before="120"/>
      <w:jc w:val="center"/>
      <w:outlineLvl w:val="1"/>
    </w:pPr>
    <w:rPr>
      <w:rFonts w:asciiTheme="majorHAnsi" w:cstheme="majorBidi" w:eastAsiaTheme="majorEastAsia" w:hAnsiTheme="majorHAnsi"/>
      <w:b w:val="1"/>
      <w:color w:val="17406d" w:themeColor="text2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8"/>
    <w:rsid w:val="00831290"/>
    <w:rPr>
      <w:rFonts w:ascii="Century Gothic" w:cs="Times New Roman (Body CS)" w:hAnsi="Century Gothic" w:eastAsiaTheme="minorHAnsi"/>
      <w:b w:val="1"/>
      <w:caps w:val="1"/>
      <w:color w:val="546421" w:themeColor="accent6" w:themeShade="000080"/>
      <w:kern w:val="20"/>
      <w:sz w:val="54"/>
      <w:szCs w:val="20"/>
    </w:rPr>
  </w:style>
  <w:style w:type="paragraph" w:styleId="Destinatario" w:customStyle="1">
    <w:name w:val="Destinatario"/>
    <w:basedOn w:val="Normal"/>
    <w:uiPriority w:val="3"/>
    <w:semiHidden w:val="1"/>
    <w:qFormat w:val="1"/>
    <w:rsid w:val="00A66B18"/>
    <w:pPr>
      <w:spacing w:after="40" w:before="840"/>
    </w:pPr>
    <w:rPr>
      <w:b w:val="1"/>
      <w:bCs w:val="1"/>
      <w:color w:val="000000" w:themeColor="text1"/>
    </w:rPr>
  </w:style>
  <w:style w:type="paragraph" w:styleId="Saludo">
    <w:name w:val="Salutation"/>
    <w:basedOn w:val="Normal"/>
    <w:link w:val="SaludoCar"/>
    <w:uiPriority w:val="4"/>
    <w:semiHidden w:val="1"/>
    <w:qFormat w:val="1"/>
    <w:rsid w:val="00A66B18"/>
    <w:pPr>
      <w:spacing w:before="720"/>
    </w:pPr>
  </w:style>
  <w:style w:type="character" w:styleId="SaludoCar" w:customStyle="1">
    <w:name w:val="Saludo Car"/>
    <w:basedOn w:val="Fuentedeprrafopredeter"/>
    <w:link w:val="Saludo"/>
    <w:uiPriority w:val="4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Cierre">
    <w:name w:val="Closing"/>
    <w:basedOn w:val="Normal"/>
    <w:next w:val="Firma"/>
    <w:link w:val="CierreCar"/>
    <w:uiPriority w:val="6"/>
    <w:semiHidden w:val="1"/>
    <w:qFormat w:val="1"/>
    <w:rsid w:val="00A6783B"/>
    <w:pPr>
      <w:spacing w:after="960" w:before="480"/>
    </w:pPr>
  </w:style>
  <w:style w:type="character" w:styleId="CierreCar" w:customStyle="1">
    <w:name w:val="Cierre Car"/>
    <w:basedOn w:val="Fuentedeprrafopredeter"/>
    <w:link w:val="Cierre"/>
    <w:uiPriority w:val="6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Firma">
    <w:name w:val="Signature"/>
    <w:basedOn w:val="Normal"/>
    <w:link w:val="FirmaCar"/>
    <w:uiPriority w:val="7"/>
    <w:semiHidden w:val="1"/>
    <w:qFormat w:val="1"/>
    <w:rsid w:val="00A6783B"/>
    <w:pPr>
      <w:contextualSpacing w:val="1"/>
    </w:pPr>
    <w:rPr>
      <w:b w:val="1"/>
      <w:bCs w:val="1"/>
      <w:color w:val="17406d" w:themeColor="accent1"/>
    </w:rPr>
  </w:style>
  <w:style w:type="character" w:styleId="FirmaCar" w:customStyle="1">
    <w:name w:val="Firma Car"/>
    <w:basedOn w:val="Fuentedeprrafopredeter"/>
    <w:link w:val="Firma"/>
    <w:uiPriority w:val="7"/>
    <w:semiHidden w:val="1"/>
    <w:rsid w:val="007E7F36"/>
    <w:rPr>
      <w:rFonts w:eastAsiaTheme="minorHAnsi"/>
      <w:b w:val="1"/>
      <w:bCs w:val="1"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semiHidden w:val="1"/>
    <w:rsid w:val="003E24DF"/>
    <w:pPr>
      <w:spacing w:after="0"/>
      <w:jc w:val="right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character" w:styleId="Textoennegrita">
    <w:name w:val="Strong"/>
    <w:basedOn w:val="Fuentedeprrafopredeter"/>
    <w:uiPriority w:val="1"/>
    <w:semiHidden w:val="1"/>
    <w:rsid w:val="003E24DF"/>
    <w:rPr>
      <w:b w:val="1"/>
      <w:bCs w:val="1"/>
    </w:rPr>
  </w:style>
  <w:style w:type="table" w:styleId="Actadereuninconcurvaazul" w:customStyle="1">
    <w:name w:val="Acta de reunión con curva azul"/>
    <w:basedOn w:val="Tablanormal"/>
    <w:uiPriority w:val="99"/>
    <w:rsid w:val="00C14316"/>
    <w:pPr>
      <w:spacing w:after="120"/>
    </w:pPr>
    <w:rPr>
      <w:rFonts w:ascii="Segoe UI" w:cs="Times New Roman (Body CS)" w:hAnsi="Segoe UI"/>
    </w:rPr>
    <w:tblPr>
      <w:tblBorders>
        <w:top w:color="546421" w:space="0" w:sz="2" w:themeColor="accent6" w:themeShade="000080" w:val="single"/>
        <w:left w:color="546421" w:space="0" w:sz="2" w:themeColor="accent6" w:themeShade="000080" w:val="single"/>
        <w:bottom w:color="546421" w:space="0" w:sz="2" w:themeColor="accent6" w:themeShade="000080" w:val="single"/>
        <w:right w:color="546421" w:space="0" w:sz="2" w:themeColor="accent6" w:themeShade="000080" w:val="single"/>
        <w:insideH w:color="546421" w:space="0" w:sz="2" w:themeColor="accent6" w:themeShade="000080" w:val="single"/>
        <w:insideV w:color="546421" w:space="0" w:sz="2" w:themeColor="accent6" w:themeShade="000080" w:val="single"/>
      </w:tblBorders>
      <w:tblCellMar>
        <w:left w:w="0.0" w:type="dxa"/>
      </w:tblCellMar>
    </w:tblPr>
    <w:tcPr>
      <w:shd w:color="auto" w:fill="ecf2da" w:themeFill="accent6" w:themeFillTint="000033" w:val="clear"/>
    </w:tcPr>
    <w:tblStylePr w:type="firstRow">
      <w:pPr>
        <w:wordWrap w:val="1"/>
        <w:spacing w:line="240" w:lineRule="auto"/>
        <w:jc w:val="center"/>
      </w:pPr>
      <w:rPr>
        <w:rFonts w:ascii="Segoe UI" w:hAnsi="Segoe UI"/>
        <w:b w:val="1"/>
        <w:i w:val="0"/>
        <w:caps w:val="0"/>
        <w:smallCaps w:val="0"/>
        <w:color w:val="ffffff" w:themeColor="background1"/>
        <w:sz w:val="24"/>
      </w:rPr>
      <w:tblPr/>
      <w:tcPr>
        <w:tcBorders>
          <w:top w:color="546421" w:space="0" w:sz="2" w:themeColor="accent6" w:themeShade="000080" w:val="single"/>
          <w:left w:color="546421" w:space="0" w:sz="2" w:themeColor="accent6" w:themeShade="000080" w:val="single"/>
          <w:bottom w:color="546421" w:space="0" w:sz="2" w:themeColor="accent6" w:themeShade="000080" w:val="single"/>
          <w:right w:color="546421" w:space="0" w:sz="2" w:themeColor="accent6" w:themeShade="000080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546421" w:themeFill="accent6" w:themeFillShade="000080" w:val="clear"/>
      </w:tcPr>
    </w:tblStyle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835CA2"/>
    <w:rPr>
      <w:rFonts w:asciiTheme="majorHAnsi" w:cstheme="majorBidi" w:eastAsiaTheme="majorEastAsia" w:hAnsiTheme="majorHAnsi"/>
      <w:b w:val="1"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083BAA"/>
    <w:pPr>
      <w:spacing w:after="100" w:afterAutospacing="1" w:before="100" w:beforeAutospacing="1"/>
    </w:pPr>
    <w:rPr>
      <w:rFonts w:ascii="Times New Roman" w:cs="Times New Roman" w:hAnsi="Times New Roman" w:eastAsiaTheme="minorEastAsia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 w:val="1"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semiHidden w:val="1"/>
    <w:rsid w:val="00A66B18"/>
    <w:pPr>
      <w:tabs>
        <w:tab w:val="center" w:pos="4680"/>
        <w:tab w:val="right" w:pos="9360"/>
      </w:tabs>
      <w:spacing w:after="0" w:before="0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 w:val="1"/>
    <w:rsid w:val="007E6992"/>
    <w:pPr>
      <w:spacing w:after="640" w:before="0"/>
      <w:contextualSpacing w:val="1"/>
    </w:pPr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E6992"/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paragraph" w:styleId="Informacindelareunin" w:customStyle="1">
    <w:name w:val="Información de la reunión"/>
    <w:basedOn w:val="Normal"/>
    <w:qFormat w:val="1"/>
    <w:rsid w:val="00DE75C1"/>
    <w:pPr>
      <w:spacing w:after="0"/>
    </w:pPr>
    <w:rPr>
      <w:color w:val="000000" w:themeColor="text1"/>
    </w:rPr>
  </w:style>
  <w:style w:type="table" w:styleId="Tablaconcuadrcula">
    <w:name w:val="Table Grid"/>
    <w:basedOn w:val="Tablanormal"/>
    <w:uiPriority w:val="39"/>
    <w:rsid w:val="007E7F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orasdereunin" w:customStyle="1">
    <w:name w:val="Horas de reunión"/>
    <w:basedOn w:val="Normal"/>
    <w:semiHidden w:val="1"/>
    <w:qFormat w:val="1"/>
    <w:rsid w:val="007E7F36"/>
    <w:pPr>
      <w:spacing w:after="0" w:before="120"/>
    </w:pPr>
    <w:rPr>
      <w:b w:val="1"/>
    </w:rPr>
  </w:style>
  <w:style w:type="paragraph" w:styleId="Listaconnmeros">
    <w:name w:val="List Number"/>
    <w:basedOn w:val="Normal"/>
    <w:uiPriority w:val="99"/>
    <w:qFormat w:val="1"/>
    <w:rsid w:val="008D2383"/>
    <w:pPr>
      <w:numPr>
        <w:numId w:val="3"/>
      </w:numPr>
      <w:spacing w:after="240" w:before="240"/>
    </w:pPr>
  </w:style>
  <w:style w:type="paragraph" w:styleId="Listaconnmeros2">
    <w:name w:val="List Number 2"/>
    <w:basedOn w:val="Normal"/>
    <w:uiPriority w:val="99"/>
    <w:semiHidden w:val="1"/>
    <w:rsid w:val="00133C8A"/>
    <w:pPr>
      <w:numPr>
        <w:ilvl w:val="1"/>
        <w:numId w:val="3"/>
      </w:numPr>
      <w:spacing w:after="100"/>
      <w:ind w:left="1440"/>
    </w:pPr>
  </w:style>
  <w:style w:type="paragraph" w:styleId="Prrafodelista">
    <w:name w:val="List Paragraph"/>
    <w:basedOn w:val="Normal"/>
    <w:uiPriority w:val="34"/>
    <w:semiHidden w:val="1"/>
    <w:rsid w:val="00133C8A"/>
    <w:pPr>
      <w:contextualSpacing w:val="1"/>
    </w:pPr>
  </w:style>
  <w:style w:type="table" w:styleId="Tablanormal4">
    <w:name w:val="Plain Table 4"/>
    <w:basedOn w:val="Tabla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tulo1" w:customStyle="1">
    <w:name w:val="Subtítulo1"/>
    <w:basedOn w:val="Listaconnmeros"/>
    <w:qFormat w:val="1"/>
    <w:rsid w:val="00AA45B8"/>
    <w:pPr>
      <w:numPr>
        <w:numId w:val="0"/>
      </w:numPr>
      <w:spacing w:after="480" w:before="720"/>
    </w:pPr>
    <w:rPr>
      <w:rFonts w:ascii="Century Gothic" w:hAnsi="Century Gothic"/>
      <w:sz w:val="44"/>
    </w:rPr>
  </w:style>
  <w:style w:type="paragraph" w:styleId="Encabezadodetabla" w:customStyle="1">
    <w:name w:val="Encabezado de tabla"/>
    <w:basedOn w:val="Normal"/>
    <w:qFormat w:val="1"/>
    <w:rsid w:val="00831290"/>
    <w:pPr>
      <w:spacing w:before="120"/>
      <w:jc w:val="center"/>
    </w:pPr>
    <w:rPr>
      <w:color w:val="ffffff" w:themeColor="background1"/>
      <w:sz w:val="22"/>
    </w:rPr>
  </w:style>
  <w:style w:type="paragraph" w:styleId="Cuerpodelatabla" w:customStyle="1">
    <w:name w:val="Cuerpo de la tabla"/>
    <w:basedOn w:val="Normal"/>
    <w:qFormat w:val="1"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styleId="Informacindelareuninennegrita" w:customStyle="1">
    <w:name w:val="Información de la reunión en negrita"/>
    <w:basedOn w:val="Informacindelareunin"/>
    <w:qFormat w:val="1"/>
    <w:rsid w:val="002C0E4D"/>
    <w:rPr>
      <w:b w:val="1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OPY8xIPElfo" TargetMode="External"/><Relationship Id="rId10" Type="http://schemas.openxmlformats.org/officeDocument/2006/relationships/hyperlink" Target="https://larazon.co/nacion/minagricultura-critico-la-prohibicion-de-la-venta-de-aleta-de-tiburon/" TargetMode="External"/><Relationship Id="rId13" Type="http://schemas.openxmlformats.org/officeDocument/2006/relationships/hyperlink" Target="https://www.podnation.co/show/duro-con-chonta/episode/noticiero-final-" TargetMode="External"/><Relationship Id="rId12" Type="http://schemas.openxmlformats.org/officeDocument/2006/relationships/hyperlink" Target="https://www.flipsnack.com/lmhs1121/memorias-sonoras-hmld02e95e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lipsnack.com/CE65CD88B7A/m-dulo-2.html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oysonidoterritori.wixsite.com/sonidoterritorial" TargetMode="External"/><Relationship Id="rId8" Type="http://schemas.openxmlformats.org/officeDocument/2006/relationships/hyperlink" Target="https://www.podnation.co/show/duro-con-chonta/episode/perfil-rosa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ibreFranklinMedium-italic.ttf"/><Relationship Id="rId10" Type="http://schemas.openxmlformats.org/officeDocument/2006/relationships/font" Target="fonts/LibreFranklinMedium-bold.ttf"/><Relationship Id="rId13" Type="http://schemas.openxmlformats.org/officeDocument/2006/relationships/font" Target="fonts/CenturyGothic-regular.ttf"/><Relationship Id="rId12" Type="http://schemas.openxmlformats.org/officeDocument/2006/relationships/font" Target="fonts/LibreFranklinMedium-boldItalic.ttf"/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9" Type="http://schemas.openxmlformats.org/officeDocument/2006/relationships/font" Target="fonts/LibreFranklinMedium-regular.ttf"/><Relationship Id="rId15" Type="http://schemas.openxmlformats.org/officeDocument/2006/relationships/font" Target="fonts/CenturyGothic-italic.ttf"/><Relationship Id="rId14" Type="http://schemas.openxmlformats.org/officeDocument/2006/relationships/font" Target="fonts/CenturyGothic-bold.ttf"/><Relationship Id="rId16" Type="http://schemas.openxmlformats.org/officeDocument/2006/relationships/font" Target="fonts/CenturyGothic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pmlnI/8T5OILRkshovCyjbbMA==">CgMxLjA4AHIhMThUcGVYS0VWa0VNR19LVUVvU2lPQ0VsQU1rLURxbHEz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ontentTypeId">
    <vt:lpwstr>0x01010079F111ED35F8CC479449609E8A0923A6</vt:lpwstr>
  </property>
</Properties>
</file>